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3F" w:rsidRPr="00634133" w:rsidRDefault="00FF1B3F" w:rsidP="00FF1B3F">
      <w:pPr>
        <w:spacing w:line="360" w:lineRule="auto"/>
        <w:ind w:leftChars="-213" w:hangingChars="149" w:hanging="447"/>
        <w:rPr>
          <w:rFonts w:eastAsia="黑体"/>
          <w:sz w:val="30"/>
          <w:szCs w:val="30"/>
        </w:rPr>
      </w:pPr>
      <w:r w:rsidRPr="00634133">
        <w:rPr>
          <w:rFonts w:eastAsia="黑体" w:hint="eastAsia"/>
          <w:sz w:val="30"/>
          <w:szCs w:val="30"/>
        </w:rPr>
        <w:t>附件</w:t>
      </w:r>
      <w:r w:rsidRPr="00634133">
        <w:rPr>
          <w:rFonts w:eastAsia="黑体" w:hint="eastAsia"/>
          <w:sz w:val="30"/>
          <w:szCs w:val="30"/>
        </w:rPr>
        <w:t>4</w:t>
      </w:r>
      <w:r>
        <w:rPr>
          <w:rFonts w:eastAsia="黑体" w:hint="eastAsia"/>
          <w:sz w:val="30"/>
          <w:szCs w:val="30"/>
        </w:rPr>
        <w:t>：</w:t>
      </w:r>
    </w:p>
    <w:p w:rsidR="00FF1B3F" w:rsidRPr="00C97DFB" w:rsidRDefault="00FF1B3F" w:rsidP="00FF1B3F">
      <w:pPr>
        <w:spacing w:line="360" w:lineRule="auto"/>
        <w:ind w:leftChars="-220" w:left="132" w:hangingChars="165" w:hanging="594"/>
        <w:jc w:val="center"/>
        <w:rPr>
          <w:rFonts w:asciiTheme="majorEastAsia" w:eastAsiaTheme="majorEastAsia"/>
          <w:sz w:val="36"/>
          <w:szCs w:val="36"/>
        </w:rPr>
      </w:pPr>
      <w:r w:rsidRPr="00C97DFB">
        <w:rPr>
          <w:rFonts w:asciiTheme="majorEastAsia" w:eastAsiaTheme="majorEastAsia" w:hint="eastAsia"/>
          <w:sz w:val="36"/>
          <w:szCs w:val="36"/>
        </w:rPr>
        <w:t>2017年物流职业教育教学成果奖评审表</w:t>
      </w:r>
    </w:p>
    <w:tbl>
      <w:tblPr>
        <w:tblW w:w="1494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28" w:type="dxa"/>
          <w:left w:w="28" w:type="dxa"/>
          <w:bottom w:w="28" w:type="dxa"/>
          <w:right w:w="28" w:type="dxa"/>
        </w:tblCellMar>
        <w:tblLook w:val="04A0"/>
      </w:tblPr>
      <w:tblGrid>
        <w:gridCol w:w="2245"/>
        <w:gridCol w:w="2111"/>
        <w:gridCol w:w="8001"/>
        <w:gridCol w:w="1325"/>
        <w:gridCol w:w="1258"/>
      </w:tblGrid>
      <w:tr w:rsidR="00FF1B3F" w:rsidRPr="00634133" w:rsidTr="00ED430B">
        <w:trPr>
          <w:trHeight w:val="454"/>
          <w:jc w:val="center"/>
        </w:trPr>
        <w:tc>
          <w:tcPr>
            <w:tcW w:w="2245" w:type="dxa"/>
            <w:shd w:val="clear" w:color="auto" w:fill="auto"/>
            <w:vAlign w:val="center"/>
            <w:hideMark/>
          </w:tcPr>
          <w:p w:rsidR="00FF1B3F" w:rsidRPr="00634133" w:rsidRDefault="00FF1B3F" w:rsidP="00ED430B">
            <w:pPr>
              <w:widowControl/>
              <w:spacing w:line="400" w:lineRule="exact"/>
              <w:jc w:val="center"/>
              <w:rPr>
                <w:rFonts w:ascii="黑体" w:eastAsia="黑体"/>
                <w:bCs/>
                <w:color w:val="000000"/>
                <w:kern w:val="0"/>
                <w:sz w:val="24"/>
              </w:rPr>
            </w:pPr>
            <w:r w:rsidRPr="00634133">
              <w:rPr>
                <w:rFonts w:ascii="黑体" w:eastAsia="黑体" w:hint="eastAsia"/>
                <w:bCs/>
                <w:color w:val="000000"/>
                <w:kern w:val="0"/>
                <w:sz w:val="24"/>
              </w:rPr>
              <w:t>成果名称：</w:t>
            </w:r>
          </w:p>
        </w:tc>
        <w:tc>
          <w:tcPr>
            <w:tcW w:w="12695" w:type="dxa"/>
            <w:gridSpan w:val="4"/>
            <w:shd w:val="clear" w:color="auto" w:fill="auto"/>
            <w:vAlign w:val="center"/>
            <w:hideMark/>
          </w:tcPr>
          <w:p w:rsidR="00FF1B3F" w:rsidRPr="00634133" w:rsidRDefault="00FF1B3F" w:rsidP="00ED430B">
            <w:pPr>
              <w:widowControl/>
              <w:spacing w:line="400" w:lineRule="exact"/>
              <w:jc w:val="left"/>
              <w:rPr>
                <w:rFonts w:ascii="黑体" w:eastAsia="黑体"/>
                <w:color w:val="FF0000"/>
                <w:kern w:val="0"/>
                <w:sz w:val="24"/>
              </w:rPr>
            </w:pPr>
            <w:r w:rsidRPr="00634133">
              <w:rPr>
                <w:rFonts w:ascii="黑体" w:eastAsia="黑体" w:hint="eastAsia"/>
                <w:color w:val="FF0000"/>
                <w:kern w:val="0"/>
                <w:sz w:val="24"/>
              </w:rPr>
              <w:t xml:space="preserve">　</w:t>
            </w:r>
          </w:p>
        </w:tc>
      </w:tr>
      <w:tr w:rsidR="00FF1B3F" w:rsidRPr="00634133" w:rsidTr="00ED430B">
        <w:trPr>
          <w:trHeight w:val="454"/>
          <w:jc w:val="center"/>
        </w:trPr>
        <w:tc>
          <w:tcPr>
            <w:tcW w:w="2245" w:type="dxa"/>
            <w:shd w:val="clear" w:color="auto" w:fill="auto"/>
            <w:vAlign w:val="center"/>
            <w:hideMark/>
          </w:tcPr>
          <w:p w:rsidR="00FF1B3F" w:rsidRPr="00634133" w:rsidRDefault="00FF1B3F" w:rsidP="00ED430B">
            <w:pPr>
              <w:widowControl/>
              <w:spacing w:line="400" w:lineRule="exact"/>
              <w:jc w:val="center"/>
              <w:rPr>
                <w:rFonts w:ascii="黑体" w:eastAsia="黑体"/>
                <w:bCs/>
                <w:kern w:val="0"/>
                <w:sz w:val="24"/>
              </w:rPr>
            </w:pPr>
            <w:r w:rsidRPr="00634133">
              <w:rPr>
                <w:rFonts w:ascii="黑体" w:eastAsia="黑体" w:hint="eastAsia"/>
                <w:bCs/>
                <w:kern w:val="0"/>
                <w:sz w:val="24"/>
              </w:rPr>
              <w:t>一级指标</w:t>
            </w:r>
          </w:p>
        </w:tc>
        <w:tc>
          <w:tcPr>
            <w:tcW w:w="2111" w:type="dxa"/>
            <w:shd w:val="clear" w:color="auto" w:fill="auto"/>
            <w:vAlign w:val="center"/>
            <w:hideMark/>
          </w:tcPr>
          <w:p w:rsidR="00FF1B3F" w:rsidRPr="00634133" w:rsidRDefault="00FF1B3F" w:rsidP="00ED430B">
            <w:pPr>
              <w:widowControl/>
              <w:spacing w:line="400" w:lineRule="exact"/>
              <w:jc w:val="center"/>
              <w:rPr>
                <w:rFonts w:ascii="黑体" w:eastAsia="黑体"/>
                <w:bCs/>
                <w:kern w:val="0"/>
                <w:sz w:val="24"/>
              </w:rPr>
            </w:pPr>
            <w:r w:rsidRPr="00634133">
              <w:rPr>
                <w:rFonts w:ascii="黑体" w:eastAsia="黑体" w:hint="eastAsia"/>
                <w:bCs/>
                <w:kern w:val="0"/>
                <w:sz w:val="24"/>
              </w:rPr>
              <w:t>二级指标</w:t>
            </w:r>
          </w:p>
        </w:tc>
        <w:tc>
          <w:tcPr>
            <w:tcW w:w="8001" w:type="dxa"/>
            <w:shd w:val="clear" w:color="auto" w:fill="auto"/>
            <w:vAlign w:val="center"/>
            <w:hideMark/>
          </w:tcPr>
          <w:p w:rsidR="00FF1B3F" w:rsidRPr="00634133" w:rsidRDefault="00FF1B3F" w:rsidP="00ED430B">
            <w:pPr>
              <w:widowControl/>
              <w:spacing w:line="400" w:lineRule="exact"/>
              <w:jc w:val="center"/>
              <w:rPr>
                <w:rFonts w:ascii="黑体" w:eastAsia="黑体"/>
                <w:bCs/>
                <w:kern w:val="0"/>
                <w:sz w:val="24"/>
              </w:rPr>
            </w:pPr>
            <w:r w:rsidRPr="00634133">
              <w:rPr>
                <w:rFonts w:ascii="黑体" w:eastAsia="黑体" w:hint="eastAsia"/>
                <w:bCs/>
                <w:kern w:val="0"/>
                <w:sz w:val="24"/>
              </w:rPr>
              <w:t>主要评分内涵</w:t>
            </w:r>
          </w:p>
        </w:tc>
        <w:tc>
          <w:tcPr>
            <w:tcW w:w="1325" w:type="dxa"/>
            <w:shd w:val="clear" w:color="auto" w:fill="auto"/>
            <w:vAlign w:val="center"/>
            <w:hideMark/>
          </w:tcPr>
          <w:p w:rsidR="00FF1B3F" w:rsidRPr="00634133" w:rsidRDefault="00FF1B3F" w:rsidP="00ED430B">
            <w:pPr>
              <w:widowControl/>
              <w:spacing w:line="400" w:lineRule="exact"/>
              <w:jc w:val="center"/>
              <w:rPr>
                <w:rFonts w:ascii="黑体" w:eastAsia="黑体"/>
                <w:bCs/>
                <w:kern w:val="0"/>
                <w:sz w:val="24"/>
              </w:rPr>
            </w:pPr>
            <w:r w:rsidRPr="00634133">
              <w:rPr>
                <w:rFonts w:ascii="黑体" w:eastAsia="黑体" w:hint="eastAsia"/>
                <w:bCs/>
                <w:kern w:val="0"/>
                <w:sz w:val="24"/>
              </w:rPr>
              <w:t>满分</w:t>
            </w:r>
          </w:p>
        </w:tc>
        <w:tc>
          <w:tcPr>
            <w:tcW w:w="1258" w:type="dxa"/>
            <w:shd w:val="clear" w:color="auto" w:fill="auto"/>
            <w:vAlign w:val="center"/>
            <w:hideMark/>
          </w:tcPr>
          <w:p w:rsidR="00FF1B3F" w:rsidRPr="00634133" w:rsidRDefault="00FF1B3F" w:rsidP="00ED430B">
            <w:pPr>
              <w:widowControl/>
              <w:spacing w:line="400" w:lineRule="exact"/>
              <w:jc w:val="left"/>
              <w:rPr>
                <w:rFonts w:ascii="黑体" w:eastAsia="黑体"/>
                <w:bCs/>
                <w:kern w:val="0"/>
                <w:sz w:val="24"/>
              </w:rPr>
            </w:pPr>
            <w:r w:rsidRPr="00634133">
              <w:rPr>
                <w:rFonts w:ascii="黑体" w:eastAsia="黑体" w:hint="eastAsia"/>
                <w:bCs/>
                <w:kern w:val="0"/>
                <w:sz w:val="24"/>
              </w:rPr>
              <w:t>评审计分</w:t>
            </w:r>
          </w:p>
        </w:tc>
      </w:tr>
      <w:tr w:rsidR="00FF1B3F" w:rsidRPr="00634133" w:rsidTr="00ED430B">
        <w:trPr>
          <w:trHeight w:val="454"/>
          <w:jc w:val="center"/>
        </w:trPr>
        <w:tc>
          <w:tcPr>
            <w:tcW w:w="2245" w:type="dxa"/>
            <w:vMerge w:val="restart"/>
            <w:shd w:val="clear" w:color="auto" w:fill="auto"/>
            <w:vAlign w:val="center"/>
            <w:hideMark/>
          </w:tcPr>
          <w:p w:rsidR="00FF1B3F" w:rsidRPr="00634133" w:rsidRDefault="00FF1B3F" w:rsidP="00ED430B">
            <w:pPr>
              <w:widowControl/>
              <w:spacing w:line="400" w:lineRule="exact"/>
              <w:jc w:val="center"/>
              <w:rPr>
                <w:rFonts w:eastAsia="仿宋_GB2312"/>
                <w:kern w:val="0"/>
                <w:sz w:val="22"/>
                <w:szCs w:val="22"/>
              </w:rPr>
            </w:pPr>
            <w:r w:rsidRPr="00634133">
              <w:rPr>
                <w:rFonts w:eastAsia="仿宋_GB2312"/>
                <w:kern w:val="0"/>
                <w:sz w:val="22"/>
                <w:szCs w:val="22"/>
              </w:rPr>
              <w:t>1</w:t>
            </w:r>
            <w:r w:rsidRPr="00F67210">
              <w:rPr>
                <w:rFonts w:eastAsia="仿宋_GB2312" w:hint="eastAsia"/>
                <w:kern w:val="0"/>
                <w:sz w:val="22"/>
                <w:szCs w:val="22"/>
              </w:rPr>
              <w:t>．</w:t>
            </w:r>
            <w:r w:rsidRPr="00634133">
              <w:rPr>
                <w:rFonts w:eastAsia="仿宋_GB2312"/>
                <w:kern w:val="0"/>
                <w:sz w:val="22"/>
                <w:szCs w:val="22"/>
              </w:rPr>
              <w:t>形式</w:t>
            </w:r>
            <w:r>
              <w:rPr>
                <w:rFonts w:eastAsia="仿宋_GB2312" w:hint="eastAsia"/>
                <w:kern w:val="0"/>
                <w:sz w:val="22"/>
                <w:szCs w:val="22"/>
              </w:rPr>
              <w:t>（</w:t>
            </w:r>
            <w:r w:rsidRPr="00634133">
              <w:rPr>
                <w:rFonts w:eastAsia="仿宋_GB2312"/>
                <w:kern w:val="0"/>
                <w:sz w:val="22"/>
                <w:szCs w:val="22"/>
              </w:rPr>
              <w:t>10</w:t>
            </w:r>
            <w:r w:rsidRPr="00634133">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1.1</w:t>
            </w:r>
            <w:r w:rsidRPr="00634133">
              <w:rPr>
                <w:rFonts w:eastAsia="仿宋_GB2312"/>
                <w:kern w:val="0"/>
                <w:sz w:val="22"/>
                <w:szCs w:val="22"/>
              </w:rPr>
              <w:t>成果名称</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成果名称：应准确、简明地反映出成果的主要内容和特征</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2</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2174"/>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1.2</w:t>
            </w:r>
            <w:r w:rsidRPr="00634133">
              <w:rPr>
                <w:rFonts w:eastAsia="仿宋_GB2312"/>
                <w:kern w:val="0"/>
                <w:sz w:val="22"/>
                <w:szCs w:val="22"/>
              </w:rPr>
              <w:t>实践检验</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在国内处于领先水平，在全国产生重大影响或在省（区、市）内产生较大影响。</w:t>
            </w:r>
          </w:p>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经过一年以上教育教学实践检验。实践检验的起始时间，应从正式实施（包括正式试行）教育教学方案的时间开始计算，不含研讨、论证及制定方案的时间。</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成果为教材（包括电子教材）、著作等出版物的，从正式出版的时间开始计算。截止时间为推荐</w:t>
            </w:r>
            <w:r>
              <w:rPr>
                <w:rFonts w:eastAsia="仿宋_GB2312"/>
                <w:kern w:val="0"/>
                <w:sz w:val="22"/>
                <w:szCs w:val="22"/>
              </w:rPr>
              <w:t>201</w:t>
            </w:r>
            <w:r>
              <w:rPr>
                <w:rFonts w:eastAsia="仿宋_GB2312" w:hint="eastAsia"/>
                <w:kern w:val="0"/>
                <w:sz w:val="22"/>
                <w:szCs w:val="22"/>
              </w:rPr>
              <w:t>7</w:t>
            </w:r>
            <w:r w:rsidRPr="00634133">
              <w:rPr>
                <w:rFonts w:eastAsia="仿宋_GB2312"/>
                <w:kern w:val="0"/>
                <w:sz w:val="22"/>
                <w:szCs w:val="22"/>
              </w:rPr>
              <w:t>年物流职业教育教学成果奖的申报时间。</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2</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1.3</w:t>
            </w:r>
            <w:r w:rsidRPr="00634133">
              <w:rPr>
                <w:rFonts w:eastAsia="仿宋_GB2312"/>
                <w:kern w:val="0"/>
                <w:sz w:val="22"/>
                <w:szCs w:val="22"/>
              </w:rPr>
              <w:t>申报材料</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申报材料齐全；推荐书填写规范，格式符合规定要求；反映成果的总结字数一般不超过</w:t>
            </w:r>
            <w:r w:rsidRPr="00634133">
              <w:rPr>
                <w:rFonts w:eastAsia="仿宋_GB2312"/>
                <w:kern w:val="0"/>
                <w:sz w:val="22"/>
                <w:szCs w:val="22"/>
              </w:rPr>
              <w:t>4000</w:t>
            </w:r>
            <w:r w:rsidRPr="00634133">
              <w:rPr>
                <w:rFonts w:eastAsia="仿宋_GB2312"/>
                <w:kern w:val="0"/>
                <w:sz w:val="22"/>
                <w:szCs w:val="22"/>
              </w:rPr>
              <w:t>个汉字。</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2</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1087"/>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1.4</w:t>
            </w:r>
            <w:r w:rsidRPr="00634133">
              <w:rPr>
                <w:rFonts w:eastAsia="仿宋_GB2312"/>
                <w:kern w:val="0"/>
                <w:sz w:val="22"/>
                <w:szCs w:val="22"/>
              </w:rPr>
              <w:t>主要完成人</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主持并直接参与成果的方案设计、论证、研究和实践过程，并做出主要贡献。</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坚持中国特色社会主义理论，遵纪守法，具有良好的思想品德和学术道德，忠诚于人民的教育事业，为人师表。</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2</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1.5</w:t>
            </w:r>
            <w:r w:rsidRPr="00634133">
              <w:rPr>
                <w:rFonts w:eastAsia="仿宋_GB2312"/>
                <w:kern w:val="0"/>
                <w:sz w:val="22"/>
                <w:szCs w:val="22"/>
              </w:rPr>
              <w:t>主要完成单位</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应当体现单位意志，由单位派人主持方案设计、论证、研究和实践过程，并以单位为主提供物质技术条件保障。</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2</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3262"/>
          <w:jc w:val="center"/>
        </w:trPr>
        <w:tc>
          <w:tcPr>
            <w:tcW w:w="2245" w:type="dxa"/>
            <w:vMerge w:val="restart"/>
            <w:shd w:val="clear" w:color="auto" w:fill="auto"/>
            <w:vAlign w:val="center"/>
            <w:hideMark/>
          </w:tcPr>
          <w:p w:rsidR="00FF1B3F" w:rsidRPr="00634133" w:rsidRDefault="00FF1B3F" w:rsidP="00ED430B">
            <w:pPr>
              <w:widowControl/>
              <w:spacing w:line="400" w:lineRule="exact"/>
              <w:jc w:val="center"/>
              <w:rPr>
                <w:rFonts w:eastAsia="仿宋_GB2312"/>
                <w:kern w:val="0"/>
                <w:sz w:val="22"/>
                <w:szCs w:val="22"/>
              </w:rPr>
            </w:pPr>
            <w:r w:rsidRPr="00634133">
              <w:rPr>
                <w:rFonts w:eastAsia="仿宋_GB2312"/>
                <w:kern w:val="0"/>
                <w:sz w:val="22"/>
                <w:szCs w:val="22"/>
              </w:rPr>
              <w:lastRenderedPageBreak/>
              <w:t>2</w:t>
            </w:r>
            <w:r w:rsidRPr="00F67210">
              <w:rPr>
                <w:rFonts w:eastAsia="仿宋_GB2312" w:hint="eastAsia"/>
                <w:kern w:val="0"/>
                <w:sz w:val="22"/>
                <w:szCs w:val="22"/>
              </w:rPr>
              <w:t>．</w:t>
            </w:r>
            <w:r w:rsidRPr="00634133">
              <w:rPr>
                <w:rFonts w:eastAsia="仿宋_GB2312"/>
                <w:kern w:val="0"/>
                <w:sz w:val="22"/>
                <w:szCs w:val="22"/>
              </w:rPr>
              <w:t>成果内容</w:t>
            </w:r>
            <w:r>
              <w:rPr>
                <w:rFonts w:eastAsia="仿宋_GB2312" w:hint="eastAsia"/>
                <w:kern w:val="0"/>
                <w:sz w:val="22"/>
                <w:szCs w:val="22"/>
              </w:rPr>
              <w:t>（</w:t>
            </w:r>
            <w:r w:rsidRPr="00634133">
              <w:rPr>
                <w:rFonts w:eastAsia="仿宋_GB2312"/>
                <w:kern w:val="0"/>
                <w:sz w:val="22"/>
                <w:szCs w:val="22"/>
              </w:rPr>
              <w:t>25</w:t>
            </w:r>
            <w:r w:rsidRPr="00634133">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2.1 </w:t>
            </w:r>
            <w:r w:rsidRPr="00634133">
              <w:rPr>
                <w:rFonts w:eastAsia="仿宋_GB2312"/>
                <w:kern w:val="0"/>
                <w:sz w:val="22"/>
                <w:szCs w:val="22"/>
              </w:rPr>
              <w:t>内容体现</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一）针对物流人才培养要求，运用现代教育和教学手段，在加强思想道德教育，开展课程、教材、实验实习基地建设等方面，坚持教书育人、探索教学规律、更新教学内容、改进教学方法、提高物流教学水平和教学质量的成果。</w:t>
            </w:r>
          </w:p>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（二）根据物流教学要求，教育环境和教育教学规律组织教学工作，推动教学改革，开展教学评估，加强专业（学科）教师队伍和学风建设，促进物流产学研相结合，实现物流教学管理现代化等方面的成果。</w:t>
            </w:r>
          </w:p>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（三）结合自身特点，推广、应用已有的物流教学成果，并在实践中进一步创新和发展，进一步提高物流教学水平和质量的成果。</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（四）运用先进的教学思想和信息技术研制的具有实用和推广价值的辅助物流教学软件。</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6</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1586"/>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2.2 </w:t>
            </w:r>
            <w:r w:rsidRPr="00634133">
              <w:rPr>
                <w:rFonts w:eastAsia="仿宋_GB2312"/>
                <w:kern w:val="0"/>
                <w:sz w:val="22"/>
                <w:szCs w:val="22"/>
              </w:rPr>
              <w:t>支撑条件</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须提交《</w:t>
            </w:r>
            <w:r>
              <w:rPr>
                <w:rFonts w:eastAsia="仿宋_GB2312"/>
                <w:kern w:val="0"/>
                <w:sz w:val="22"/>
                <w:szCs w:val="22"/>
              </w:rPr>
              <w:t>201</w:t>
            </w:r>
            <w:r>
              <w:rPr>
                <w:rFonts w:eastAsia="仿宋_GB2312" w:hint="eastAsia"/>
                <w:kern w:val="0"/>
                <w:sz w:val="22"/>
                <w:szCs w:val="22"/>
              </w:rPr>
              <w:t>7</w:t>
            </w:r>
            <w:r w:rsidRPr="00634133">
              <w:rPr>
                <w:rFonts w:eastAsia="仿宋_GB2312"/>
                <w:kern w:val="0"/>
                <w:sz w:val="22"/>
                <w:szCs w:val="22"/>
              </w:rPr>
              <w:t>年物流职业教育教学成果奖申报表》</w:t>
            </w:r>
            <w:r>
              <w:rPr>
                <w:rFonts w:eastAsia="仿宋_GB2312" w:hint="eastAsia"/>
                <w:kern w:val="0"/>
                <w:sz w:val="22"/>
                <w:szCs w:val="22"/>
              </w:rPr>
              <w:t>1</w:t>
            </w:r>
            <w:r w:rsidRPr="00634133">
              <w:rPr>
                <w:rFonts w:eastAsia="仿宋_GB2312"/>
                <w:kern w:val="0"/>
                <w:sz w:val="22"/>
                <w:szCs w:val="22"/>
              </w:rPr>
              <w:t>式</w:t>
            </w:r>
            <w:r>
              <w:rPr>
                <w:rFonts w:eastAsia="仿宋_GB2312" w:hint="eastAsia"/>
                <w:kern w:val="0"/>
                <w:sz w:val="22"/>
                <w:szCs w:val="22"/>
              </w:rPr>
              <w:t>3</w:t>
            </w:r>
            <w:r w:rsidRPr="00634133">
              <w:rPr>
                <w:rFonts w:eastAsia="仿宋_GB2312"/>
                <w:kern w:val="0"/>
                <w:sz w:val="22"/>
                <w:szCs w:val="22"/>
              </w:rPr>
              <w:t>份，成果报告</w:t>
            </w:r>
            <w:r>
              <w:rPr>
                <w:rFonts w:eastAsia="仿宋_GB2312" w:hint="eastAsia"/>
                <w:kern w:val="0"/>
                <w:sz w:val="22"/>
                <w:szCs w:val="22"/>
              </w:rPr>
              <w:t>1</w:t>
            </w:r>
            <w:r w:rsidRPr="00634133">
              <w:rPr>
                <w:rFonts w:eastAsia="仿宋_GB2312"/>
                <w:kern w:val="0"/>
                <w:sz w:val="22"/>
                <w:szCs w:val="22"/>
              </w:rPr>
              <w:t>式</w:t>
            </w:r>
            <w:r>
              <w:rPr>
                <w:rFonts w:eastAsia="仿宋_GB2312" w:hint="eastAsia"/>
                <w:kern w:val="0"/>
                <w:sz w:val="22"/>
                <w:szCs w:val="22"/>
              </w:rPr>
              <w:t>3</w:t>
            </w:r>
            <w:r w:rsidRPr="00634133">
              <w:rPr>
                <w:rFonts w:eastAsia="仿宋_GB2312"/>
                <w:kern w:val="0"/>
                <w:sz w:val="22"/>
                <w:szCs w:val="22"/>
              </w:rPr>
              <w:t>份，</w:t>
            </w:r>
            <w:r>
              <w:rPr>
                <w:rFonts w:eastAsia="仿宋_GB2312" w:hint="eastAsia"/>
                <w:kern w:val="0"/>
                <w:sz w:val="22"/>
                <w:szCs w:val="22"/>
              </w:rPr>
              <w:t>教学成果应用和效果证明材料</w:t>
            </w:r>
            <w:r>
              <w:rPr>
                <w:rFonts w:eastAsia="仿宋_GB2312" w:hint="eastAsia"/>
                <w:kern w:val="0"/>
                <w:sz w:val="22"/>
                <w:szCs w:val="22"/>
              </w:rPr>
              <w:t>1</w:t>
            </w:r>
            <w:r>
              <w:rPr>
                <w:rFonts w:eastAsia="仿宋_GB2312" w:hint="eastAsia"/>
                <w:kern w:val="0"/>
                <w:sz w:val="22"/>
                <w:szCs w:val="22"/>
              </w:rPr>
              <w:t>式</w:t>
            </w:r>
            <w:r>
              <w:rPr>
                <w:rFonts w:eastAsia="仿宋_GB2312" w:hint="eastAsia"/>
                <w:kern w:val="0"/>
                <w:sz w:val="22"/>
                <w:szCs w:val="22"/>
              </w:rPr>
              <w:t>3</w:t>
            </w:r>
            <w:r w:rsidRPr="004105B3">
              <w:rPr>
                <w:rFonts w:eastAsia="仿宋_GB2312" w:hint="eastAsia"/>
                <w:kern w:val="0"/>
                <w:sz w:val="22"/>
                <w:szCs w:val="22"/>
              </w:rPr>
              <w:t>份</w:t>
            </w:r>
            <w:r w:rsidRPr="00634133">
              <w:rPr>
                <w:rFonts w:eastAsia="仿宋_GB2312"/>
                <w:kern w:val="0"/>
                <w:sz w:val="22"/>
                <w:szCs w:val="22"/>
              </w:rPr>
              <w:t>，申报汇总表</w:t>
            </w:r>
            <w:r>
              <w:rPr>
                <w:rFonts w:eastAsia="仿宋_GB2312" w:hint="eastAsia"/>
                <w:kern w:val="0"/>
                <w:sz w:val="22"/>
                <w:szCs w:val="22"/>
              </w:rPr>
              <w:t>1</w:t>
            </w:r>
            <w:r w:rsidRPr="00634133">
              <w:rPr>
                <w:rFonts w:eastAsia="仿宋_GB2312"/>
                <w:kern w:val="0"/>
                <w:sz w:val="22"/>
                <w:szCs w:val="22"/>
              </w:rPr>
              <w:t>份。申报表和申报汇总表要按照表格项目如实填写，申报报告主要包括成果名称、成果的理论依据或指导思想、成果的研究与实践过程、成果的成效与影响等，成果报告要简明扼要。</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教学成果如为教材，须提交样书（一式两本或两套）。教学成果参加过其他评比、评奖活动的，可一并提交鉴定、验收等相关材料。推荐材料应完整、真实、规范。</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6</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815"/>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2.3 </w:t>
            </w:r>
            <w:r w:rsidRPr="00634133">
              <w:rPr>
                <w:rFonts w:eastAsia="仿宋_GB2312"/>
                <w:kern w:val="0"/>
                <w:sz w:val="22"/>
                <w:szCs w:val="22"/>
              </w:rPr>
              <w:t>方向性</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坚持贯彻落实国家教育方针，立德树人，有利于实施素质教育。</w:t>
            </w:r>
          </w:p>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坚持以质量为核心，突出实践性和创新性。</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符合现代教育思想和学科发展方向。</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4</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1087"/>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2.4 </w:t>
            </w:r>
            <w:r w:rsidRPr="00634133">
              <w:rPr>
                <w:rFonts w:eastAsia="仿宋_GB2312"/>
                <w:kern w:val="0"/>
                <w:sz w:val="22"/>
                <w:szCs w:val="22"/>
              </w:rPr>
              <w:t>科学性</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优秀物流教学成果是指反映物流教育教学规律，具有独创性、新颖性和实用性，对提高教学水平和质量有明显效果的教育教学方案，以及运用现代教育和教学手段，改进教学方法明显提高教学水平和教学质量的教学成果</w:t>
            </w:r>
            <w:r>
              <w:rPr>
                <w:rFonts w:eastAsia="仿宋_GB2312" w:hint="eastAsia"/>
                <w:kern w:val="0"/>
                <w:sz w:val="22"/>
                <w:szCs w:val="22"/>
              </w:rPr>
              <w:t>。</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5</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815"/>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2.5 </w:t>
            </w:r>
            <w:r w:rsidRPr="00634133">
              <w:rPr>
                <w:rFonts w:eastAsia="仿宋_GB2312"/>
                <w:kern w:val="0"/>
                <w:sz w:val="22"/>
                <w:szCs w:val="22"/>
              </w:rPr>
              <w:t>饱满程度</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成果能够很好地解决教学中存在的问题，内容具有逻辑性、完整性，形成内在有机联系。</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成果覆盖领域的深度和广度。</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4</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restart"/>
            <w:shd w:val="clear" w:color="auto" w:fill="auto"/>
            <w:vAlign w:val="center"/>
            <w:hideMark/>
          </w:tcPr>
          <w:p w:rsidR="00FF1B3F" w:rsidRPr="00634133" w:rsidRDefault="00FF1B3F" w:rsidP="00ED430B">
            <w:pPr>
              <w:widowControl/>
              <w:spacing w:line="400" w:lineRule="exact"/>
              <w:jc w:val="center"/>
              <w:rPr>
                <w:rFonts w:eastAsia="仿宋_GB2312"/>
                <w:kern w:val="0"/>
                <w:sz w:val="22"/>
                <w:szCs w:val="22"/>
              </w:rPr>
            </w:pPr>
            <w:r w:rsidRPr="00634133">
              <w:rPr>
                <w:rFonts w:eastAsia="仿宋_GB2312"/>
                <w:kern w:val="0"/>
                <w:sz w:val="22"/>
                <w:szCs w:val="22"/>
              </w:rPr>
              <w:t>3</w:t>
            </w:r>
            <w:r w:rsidRPr="00F67210">
              <w:rPr>
                <w:rFonts w:eastAsia="仿宋_GB2312" w:hint="eastAsia"/>
                <w:kern w:val="0"/>
                <w:sz w:val="22"/>
                <w:szCs w:val="22"/>
              </w:rPr>
              <w:t>．</w:t>
            </w:r>
            <w:r w:rsidRPr="00634133">
              <w:rPr>
                <w:rFonts w:eastAsia="仿宋_GB2312"/>
                <w:kern w:val="0"/>
                <w:sz w:val="22"/>
                <w:szCs w:val="22"/>
              </w:rPr>
              <w:t>创新性</w:t>
            </w:r>
            <w:r>
              <w:rPr>
                <w:rFonts w:eastAsia="仿宋_GB2312" w:hint="eastAsia"/>
                <w:kern w:val="0"/>
                <w:sz w:val="22"/>
                <w:szCs w:val="22"/>
              </w:rPr>
              <w:t>（</w:t>
            </w:r>
            <w:r w:rsidRPr="00634133">
              <w:rPr>
                <w:rFonts w:eastAsia="仿宋_GB2312"/>
                <w:kern w:val="0"/>
                <w:sz w:val="22"/>
                <w:szCs w:val="22"/>
              </w:rPr>
              <w:t>30</w:t>
            </w:r>
            <w:r w:rsidRPr="00634133">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3.1 </w:t>
            </w:r>
            <w:r w:rsidRPr="00634133">
              <w:rPr>
                <w:rFonts w:eastAsia="仿宋_GB2312"/>
                <w:kern w:val="0"/>
                <w:sz w:val="22"/>
                <w:szCs w:val="22"/>
              </w:rPr>
              <w:t>理论创新</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在职业教育教学理论上的创新程度可以分为：重大创新、创新、某一方面有突破等层次</w:t>
            </w:r>
            <w:r>
              <w:rPr>
                <w:rFonts w:eastAsia="仿宋_GB2312" w:hint="eastAsia"/>
                <w:kern w:val="0"/>
                <w:sz w:val="22"/>
                <w:szCs w:val="22"/>
              </w:rPr>
              <w:t>。</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15</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3.2 </w:t>
            </w:r>
            <w:r w:rsidRPr="00634133">
              <w:rPr>
                <w:rFonts w:eastAsia="仿宋_GB2312"/>
                <w:kern w:val="0"/>
                <w:sz w:val="22"/>
                <w:szCs w:val="22"/>
              </w:rPr>
              <w:t>实践创新</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在职业教育教学改革实践的创新程度可以分为：特别重大突破、重大示范作用、某一方面有突破等层次</w:t>
            </w:r>
            <w:r>
              <w:rPr>
                <w:rFonts w:eastAsia="仿宋_GB2312" w:hint="eastAsia"/>
                <w:kern w:val="0"/>
                <w:sz w:val="22"/>
                <w:szCs w:val="22"/>
              </w:rPr>
              <w:t>。</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15</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restart"/>
            <w:shd w:val="clear" w:color="auto" w:fill="auto"/>
            <w:vAlign w:val="center"/>
            <w:hideMark/>
          </w:tcPr>
          <w:p w:rsidR="00FF1B3F" w:rsidRPr="00634133" w:rsidRDefault="00FF1B3F" w:rsidP="00ED430B">
            <w:pPr>
              <w:widowControl/>
              <w:spacing w:line="400" w:lineRule="exact"/>
              <w:jc w:val="center"/>
              <w:rPr>
                <w:rFonts w:eastAsia="仿宋_GB2312"/>
                <w:kern w:val="0"/>
                <w:sz w:val="22"/>
                <w:szCs w:val="22"/>
              </w:rPr>
            </w:pPr>
            <w:r w:rsidRPr="00634133">
              <w:rPr>
                <w:rFonts w:eastAsia="仿宋_GB2312"/>
                <w:kern w:val="0"/>
                <w:sz w:val="22"/>
                <w:szCs w:val="22"/>
              </w:rPr>
              <w:t>4</w:t>
            </w:r>
            <w:r w:rsidRPr="00F67210">
              <w:rPr>
                <w:rFonts w:eastAsia="仿宋_GB2312" w:hint="eastAsia"/>
                <w:kern w:val="0"/>
                <w:sz w:val="22"/>
                <w:szCs w:val="22"/>
              </w:rPr>
              <w:t>．</w:t>
            </w:r>
            <w:r w:rsidRPr="00634133">
              <w:rPr>
                <w:rFonts w:eastAsia="仿宋_GB2312"/>
                <w:kern w:val="0"/>
                <w:sz w:val="22"/>
                <w:szCs w:val="22"/>
              </w:rPr>
              <w:t>推广价值</w:t>
            </w:r>
            <w:r>
              <w:rPr>
                <w:rFonts w:eastAsia="仿宋_GB2312" w:hint="eastAsia"/>
                <w:kern w:val="0"/>
                <w:sz w:val="22"/>
                <w:szCs w:val="22"/>
              </w:rPr>
              <w:t>（</w:t>
            </w:r>
            <w:r w:rsidRPr="00634133">
              <w:rPr>
                <w:rFonts w:eastAsia="仿宋_GB2312"/>
                <w:kern w:val="0"/>
                <w:sz w:val="22"/>
                <w:szCs w:val="22"/>
              </w:rPr>
              <w:t>25</w:t>
            </w:r>
            <w:r w:rsidRPr="00634133">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4.1</w:t>
            </w:r>
            <w:r w:rsidRPr="00634133">
              <w:rPr>
                <w:rFonts w:eastAsia="仿宋_GB2312"/>
                <w:kern w:val="0"/>
                <w:sz w:val="22"/>
                <w:szCs w:val="22"/>
              </w:rPr>
              <w:t>实施过程</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项目的设计、论证、研究、实践过程及阶段性检查、验收的规范性、完整性和延续性。</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4</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287"/>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4.2</w:t>
            </w:r>
            <w:r w:rsidRPr="00634133">
              <w:rPr>
                <w:rFonts w:eastAsia="仿宋_GB2312"/>
                <w:kern w:val="0"/>
                <w:sz w:val="22"/>
                <w:szCs w:val="22"/>
              </w:rPr>
              <w:t>推广应用</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成果推广应用的受益面。</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推广应用成果的完整性。</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8</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4.3</w:t>
            </w:r>
            <w:r w:rsidRPr="00634133">
              <w:rPr>
                <w:rFonts w:eastAsia="仿宋_GB2312"/>
                <w:kern w:val="0"/>
                <w:sz w:val="22"/>
                <w:szCs w:val="22"/>
              </w:rPr>
              <w:t>推广成效</w:t>
            </w:r>
          </w:p>
        </w:tc>
        <w:tc>
          <w:tcPr>
            <w:tcW w:w="800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在提高教学水平和教育质量、实现培养目标等方面的推广成效可以分为：突出贡献、产生重大成效、取得显著成效等层次</w:t>
            </w:r>
            <w:r>
              <w:rPr>
                <w:rFonts w:eastAsia="仿宋_GB2312" w:hint="eastAsia"/>
                <w:kern w:val="0"/>
                <w:sz w:val="22"/>
                <w:szCs w:val="22"/>
              </w:rPr>
              <w:t>。</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10</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 xml:space="preserve">4.4 </w:t>
            </w:r>
            <w:r w:rsidRPr="00634133">
              <w:rPr>
                <w:rFonts w:eastAsia="仿宋_GB2312"/>
                <w:kern w:val="0"/>
                <w:sz w:val="22"/>
                <w:szCs w:val="22"/>
              </w:rPr>
              <w:t>预期前景</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成果有进一步的拓展空间。</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成果有进一步推广应用的可能性及预期前景。</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3</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1087"/>
          <w:jc w:val="center"/>
        </w:trPr>
        <w:tc>
          <w:tcPr>
            <w:tcW w:w="2245" w:type="dxa"/>
            <w:vMerge w:val="restart"/>
            <w:shd w:val="clear" w:color="auto" w:fill="auto"/>
            <w:vAlign w:val="center"/>
            <w:hideMark/>
          </w:tcPr>
          <w:p w:rsidR="00FF1B3F" w:rsidRPr="00634133" w:rsidRDefault="00FF1B3F" w:rsidP="00ED430B">
            <w:pPr>
              <w:widowControl/>
              <w:spacing w:line="400" w:lineRule="exact"/>
              <w:jc w:val="center"/>
              <w:rPr>
                <w:rFonts w:eastAsia="仿宋_GB2312"/>
                <w:kern w:val="0"/>
                <w:sz w:val="22"/>
                <w:szCs w:val="22"/>
              </w:rPr>
            </w:pPr>
            <w:r w:rsidRPr="00634133">
              <w:rPr>
                <w:rFonts w:eastAsia="仿宋_GB2312"/>
                <w:kern w:val="0"/>
                <w:sz w:val="22"/>
                <w:szCs w:val="22"/>
              </w:rPr>
              <w:lastRenderedPageBreak/>
              <w:t>5</w:t>
            </w:r>
            <w:r w:rsidRPr="00F67210">
              <w:rPr>
                <w:rFonts w:eastAsia="仿宋_GB2312" w:hint="eastAsia"/>
                <w:kern w:val="0"/>
                <w:sz w:val="22"/>
                <w:szCs w:val="22"/>
              </w:rPr>
              <w:t>．</w:t>
            </w:r>
            <w:r w:rsidRPr="00634133">
              <w:rPr>
                <w:rFonts w:eastAsia="仿宋_GB2312"/>
                <w:kern w:val="0"/>
                <w:sz w:val="22"/>
                <w:szCs w:val="22"/>
              </w:rPr>
              <w:t>综合水平</w:t>
            </w:r>
            <w:r>
              <w:rPr>
                <w:rFonts w:eastAsia="仿宋_GB2312" w:hint="eastAsia"/>
                <w:kern w:val="0"/>
                <w:sz w:val="22"/>
                <w:szCs w:val="22"/>
              </w:rPr>
              <w:t>（</w:t>
            </w:r>
            <w:r w:rsidRPr="00634133">
              <w:rPr>
                <w:rFonts w:eastAsia="仿宋_GB2312"/>
                <w:kern w:val="0"/>
                <w:sz w:val="22"/>
                <w:szCs w:val="22"/>
              </w:rPr>
              <w:t>10</w:t>
            </w:r>
            <w:r w:rsidRPr="00634133">
              <w:rPr>
                <w:rFonts w:eastAsia="仿宋_GB2312"/>
                <w:kern w:val="0"/>
                <w:sz w:val="22"/>
                <w:szCs w:val="22"/>
              </w:rPr>
              <w:t>分</w:t>
            </w:r>
            <w:r>
              <w:rPr>
                <w:rFonts w:eastAsia="仿宋_GB2312" w:hint="eastAsia"/>
                <w:kern w:val="0"/>
                <w:sz w:val="22"/>
                <w:szCs w:val="22"/>
              </w:rPr>
              <w:t>）</w:t>
            </w: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5.1</w:t>
            </w:r>
            <w:r w:rsidRPr="00634133">
              <w:rPr>
                <w:rFonts w:eastAsia="仿宋_GB2312"/>
                <w:kern w:val="0"/>
                <w:sz w:val="22"/>
                <w:szCs w:val="22"/>
              </w:rPr>
              <w:t>领先程度</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成果在国内所处的水平</w:t>
            </w:r>
            <w:r>
              <w:rPr>
                <w:rFonts w:eastAsia="仿宋_GB2312" w:hint="eastAsia"/>
                <w:kern w:val="0"/>
                <w:sz w:val="22"/>
                <w:szCs w:val="22"/>
              </w:rPr>
              <w:t>，</w:t>
            </w:r>
            <w:r w:rsidRPr="00634133">
              <w:rPr>
                <w:rFonts w:eastAsia="仿宋_GB2312"/>
                <w:kern w:val="0"/>
                <w:sz w:val="22"/>
                <w:szCs w:val="22"/>
              </w:rPr>
              <w:t>在职业教育教学改革方面取得显著突破，对提高教学质量、实现培养目标有显著贡献。</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公开发表成果论文的刊物的重要程度以及成果论文在国内外同行中的影响。</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5</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544"/>
          <w:jc w:val="center"/>
        </w:trPr>
        <w:tc>
          <w:tcPr>
            <w:tcW w:w="2245" w:type="dxa"/>
            <w:vMerge/>
            <w:vAlign w:val="center"/>
            <w:hideMark/>
          </w:tcPr>
          <w:p w:rsidR="00FF1B3F" w:rsidRPr="00634133" w:rsidRDefault="00FF1B3F" w:rsidP="00ED430B">
            <w:pPr>
              <w:widowControl/>
              <w:spacing w:line="400" w:lineRule="exact"/>
              <w:jc w:val="left"/>
              <w:rPr>
                <w:rFonts w:eastAsia="仿宋_GB2312"/>
                <w:kern w:val="0"/>
                <w:sz w:val="22"/>
                <w:szCs w:val="22"/>
              </w:rPr>
            </w:pPr>
          </w:p>
        </w:tc>
        <w:tc>
          <w:tcPr>
            <w:tcW w:w="2111" w:type="dxa"/>
            <w:shd w:val="clear" w:color="auto" w:fill="auto"/>
            <w:vAlign w:val="center"/>
            <w:hideMark/>
          </w:tcPr>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5.2</w:t>
            </w:r>
            <w:r w:rsidRPr="00634133">
              <w:rPr>
                <w:rFonts w:eastAsia="仿宋_GB2312"/>
                <w:kern w:val="0"/>
                <w:sz w:val="22"/>
                <w:szCs w:val="22"/>
              </w:rPr>
              <w:t>项目认可程度</w:t>
            </w:r>
          </w:p>
        </w:tc>
        <w:tc>
          <w:tcPr>
            <w:tcW w:w="8001" w:type="dxa"/>
            <w:shd w:val="clear" w:color="auto" w:fill="auto"/>
            <w:vAlign w:val="center"/>
            <w:hideMark/>
          </w:tcPr>
          <w:p w:rsidR="00FF1B3F" w:rsidRPr="00F67210" w:rsidRDefault="00FF1B3F" w:rsidP="00ED430B">
            <w:pPr>
              <w:widowControl/>
              <w:spacing w:line="400" w:lineRule="exact"/>
              <w:rPr>
                <w:rFonts w:eastAsia="仿宋_GB2312"/>
                <w:kern w:val="0"/>
                <w:sz w:val="22"/>
                <w:szCs w:val="22"/>
              </w:rPr>
            </w:pPr>
            <w:r w:rsidRPr="00634133">
              <w:rPr>
                <w:rFonts w:eastAsia="仿宋_GB2312"/>
                <w:kern w:val="0"/>
                <w:sz w:val="22"/>
                <w:szCs w:val="22"/>
              </w:rPr>
              <w:t>有关教学改革项目是否申报校级、省级、国家级等课题。</w:t>
            </w:r>
          </w:p>
          <w:p w:rsidR="00FF1B3F" w:rsidRPr="00634133" w:rsidRDefault="00FF1B3F" w:rsidP="00ED430B">
            <w:pPr>
              <w:widowControl/>
              <w:spacing w:line="400" w:lineRule="exact"/>
              <w:rPr>
                <w:rFonts w:eastAsia="仿宋_GB2312"/>
                <w:kern w:val="0"/>
                <w:sz w:val="22"/>
                <w:szCs w:val="22"/>
              </w:rPr>
            </w:pPr>
            <w:r w:rsidRPr="00634133">
              <w:rPr>
                <w:rFonts w:eastAsia="仿宋_GB2312"/>
                <w:kern w:val="0"/>
                <w:sz w:val="22"/>
                <w:szCs w:val="22"/>
              </w:rPr>
              <w:t>所获奖励的教学奖励及等级（不包括商业性的奖励）。</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kern w:val="0"/>
                <w:sz w:val="22"/>
                <w:szCs w:val="22"/>
              </w:rPr>
            </w:pPr>
            <w:r w:rsidRPr="00634133">
              <w:rPr>
                <w:rFonts w:eastAsia="仿宋_GB2312"/>
                <w:bCs/>
                <w:kern w:val="0"/>
                <w:sz w:val="22"/>
                <w:szCs w:val="22"/>
              </w:rPr>
              <w:t>5</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kern w:val="0"/>
                <w:sz w:val="22"/>
                <w:szCs w:val="22"/>
              </w:rPr>
            </w:pPr>
            <w:r w:rsidRPr="00634133">
              <w:rPr>
                <w:rFonts w:eastAsia="仿宋_GB2312"/>
                <w:kern w:val="0"/>
                <w:sz w:val="22"/>
                <w:szCs w:val="22"/>
              </w:rPr>
              <w:t xml:space="preserve">　</w:t>
            </w:r>
          </w:p>
        </w:tc>
      </w:tr>
      <w:tr w:rsidR="00FF1B3F" w:rsidRPr="00634133" w:rsidTr="00ED430B">
        <w:trPr>
          <w:trHeight w:val="967"/>
          <w:jc w:val="center"/>
        </w:trPr>
        <w:tc>
          <w:tcPr>
            <w:tcW w:w="12357" w:type="dxa"/>
            <w:gridSpan w:val="3"/>
            <w:shd w:val="clear" w:color="auto" w:fill="auto"/>
            <w:vAlign w:val="center"/>
            <w:hideMark/>
          </w:tcPr>
          <w:p w:rsidR="00FF1B3F" w:rsidRPr="00634133" w:rsidRDefault="00FF1B3F" w:rsidP="00ED430B">
            <w:pPr>
              <w:widowControl/>
              <w:spacing w:line="400" w:lineRule="exact"/>
              <w:jc w:val="left"/>
              <w:rPr>
                <w:rFonts w:eastAsia="仿宋_GB2312"/>
                <w:bCs/>
                <w:color w:val="000000"/>
                <w:kern w:val="0"/>
                <w:sz w:val="22"/>
                <w:szCs w:val="22"/>
              </w:rPr>
            </w:pPr>
            <w:r w:rsidRPr="00634133">
              <w:rPr>
                <w:rFonts w:eastAsia="仿宋_GB2312"/>
                <w:bCs/>
                <w:color w:val="000000"/>
                <w:kern w:val="0"/>
                <w:sz w:val="22"/>
                <w:szCs w:val="22"/>
              </w:rPr>
              <w:t>说明：</w:t>
            </w:r>
            <w:r w:rsidRPr="00634133">
              <w:rPr>
                <w:rFonts w:eastAsia="仿宋_GB2312"/>
                <w:color w:val="000000"/>
                <w:kern w:val="0"/>
                <w:sz w:val="22"/>
                <w:szCs w:val="22"/>
              </w:rPr>
              <w:t>对以上项目评审，请根据给定的条件进行客观评价，符合条件的记满分，如材料的完整性，其他情形酌情记分，最后在</w:t>
            </w:r>
            <w:r>
              <w:rPr>
                <w:rFonts w:eastAsia="仿宋_GB2312" w:hint="eastAsia"/>
                <w:color w:val="000000"/>
                <w:kern w:val="0"/>
                <w:sz w:val="22"/>
                <w:szCs w:val="22"/>
              </w:rPr>
              <w:t>“</w:t>
            </w:r>
            <w:r w:rsidRPr="00634133">
              <w:rPr>
                <w:rFonts w:eastAsia="仿宋_GB2312"/>
                <w:color w:val="000000"/>
                <w:kern w:val="0"/>
                <w:sz w:val="22"/>
                <w:szCs w:val="22"/>
              </w:rPr>
              <w:t>合计</w:t>
            </w:r>
            <w:r>
              <w:rPr>
                <w:rFonts w:eastAsia="仿宋_GB2312" w:hint="eastAsia"/>
                <w:color w:val="000000"/>
                <w:kern w:val="0"/>
                <w:sz w:val="22"/>
                <w:szCs w:val="22"/>
              </w:rPr>
              <w:t>”</w:t>
            </w:r>
            <w:r w:rsidRPr="00634133">
              <w:rPr>
                <w:rFonts w:eastAsia="仿宋_GB2312"/>
                <w:color w:val="000000"/>
                <w:kern w:val="0"/>
                <w:sz w:val="22"/>
                <w:szCs w:val="22"/>
              </w:rPr>
              <w:t>栏中标出</w:t>
            </w:r>
            <w:r>
              <w:rPr>
                <w:rFonts w:eastAsia="仿宋_GB2312" w:hint="eastAsia"/>
                <w:color w:val="000000"/>
                <w:kern w:val="0"/>
                <w:sz w:val="22"/>
                <w:szCs w:val="22"/>
              </w:rPr>
              <w:t>“</w:t>
            </w:r>
            <w:r w:rsidRPr="00634133">
              <w:rPr>
                <w:rFonts w:eastAsia="仿宋_GB2312"/>
                <w:color w:val="000000"/>
                <w:kern w:val="0"/>
                <w:sz w:val="22"/>
                <w:szCs w:val="22"/>
              </w:rPr>
              <w:t>总分</w:t>
            </w:r>
            <w:r>
              <w:rPr>
                <w:rFonts w:eastAsia="仿宋_GB2312" w:hint="eastAsia"/>
                <w:color w:val="000000"/>
                <w:kern w:val="0"/>
                <w:sz w:val="22"/>
                <w:szCs w:val="22"/>
              </w:rPr>
              <w:t>”。</w:t>
            </w:r>
          </w:p>
        </w:tc>
        <w:tc>
          <w:tcPr>
            <w:tcW w:w="1325" w:type="dxa"/>
            <w:shd w:val="clear" w:color="auto" w:fill="auto"/>
            <w:vAlign w:val="center"/>
            <w:hideMark/>
          </w:tcPr>
          <w:p w:rsidR="00FF1B3F" w:rsidRPr="00634133" w:rsidRDefault="00FF1B3F" w:rsidP="00ED430B">
            <w:pPr>
              <w:widowControl/>
              <w:spacing w:line="400" w:lineRule="exact"/>
              <w:jc w:val="center"/>
              <w:rPr>
                <w:rFonts w:eastAsia="仿宋_GB2312"/>
                <w:bCs/>
                <w:color w:val="000000"/>
                <w:kern w:val="0"/>
                <w:sz w:val="22"/>
                <w:szCs w:val="22"/>
              </w:rPr>
            </w:pPr>
            <w:r w:rsidRPr="00634133">
              <w:rPr>
                <w:rFonts w:eastAsia="仿宋_GB2312"/>
                <w:bCs/>
                <w:color w:val="000000"/>
                <w:kern w:val="0"/>
                <w:sz w:val="22"/>
                <w:szCs w:val="22"/>
              </w:rPr>
              <w:t>合计：</w:t>
            </w:r>
          </w:p>
        </w:tc>
        <w:tc>
          <w:tcPr>
            <w:tcW w:w="1258" w:type="dxa"/>
            <w:shd w:val="clear" w:color="auto" w:fill="auto"/>
            <w:vAlign w:val="center"/>
            <w:hideMark/>
          </w:tcPr>
          <w:p w:rsidR="00FF1B3F" w:rsidRPr="00634133" w:rsidRDefault="00FF1B3F" w:rsidP="00ED430B">
            <w:pPr>
              <w:widowControl/>
              <w:spacing w:line="400" w:lineRule="exact"/>
              <w:jc w:val="left"/>
              <w:rPr>
                <w:rFonts w:eastAsia="仿宋_GB2312"/>
                <w:color w:val="000000"/>
                <w:kern w:val="0"/>
                <w:sz w:val="22"/>
                <w:szCs w:val="22"/>
              </w:rPr>
            </w:pPr>
            <w:r w:rsidRPr="00634133">
              <w:rPr>
                <w:rFonts w:eastAsia="仿宋_GB2312"/>
                <w:color w:val="000000"/>
                <w:kern w:val="0"/>
                <w:sz w:val="22"/>
                <w:szCs w:val="22"/>
              </w:rPr>
              <w:t xml:space="preserve">　</w:t>
            </w:r>
          </w:p>
        </w:tc>
      </w:tr>
      <w:tr w:rsidR="00FF1B3F" w:rsidRPr="00634133" w:rsidTr="00ED430B">
        <w:trPr>
          <w:trHeight w:val="2235"/>
          <w:jc w:val="center"/>
        </w:trPr>
        <w:tc>
          <w:tcPr>
            <w:tcW w:w="14940" w:type="dxa"/>
            <w:gridSpan w:val="5"/>
            <w:shd w:val="clear" w:color="auto" w:fill="auto"/>
            <w:hideMark/>
          </w:tcPr>
          <w:p w:rsidR="00FF1B3F" w:rsidRPr="00634133" w:rsidRDefault="00FF1B3F" w:rsidP="00ED430B">
            <w:pPr>
              <w:widowControl/>
              <w:spacing w:line="400" w:lineRule="exact"/>
              <w:jc w:val="left"/>
              <w:rPr>
                <w:rFonts w:eastAsia="仿宋_GB2312"/>
                <w:bCs/>
                <w:color w:val="000000"/>
                <w:kern w:val="0"/>
                <w:sz w:val="22"/>
                <w:szCs w:val="22"/>
              </w:rPr>
            </w:pPr>
            <w:r w:rsidRPr="00634133">
              <w:rPr>
                <w:rFonts w:eastAsia="仿宋_GB2312"/>
                <w:bCs/>
                <w:color w:val="000000"/>
                <w:kern w:val="0"/>
                <w:sz w:val="22"/>
                <w:szCs w:val="22"/>
              </w:rPr>
              <w:t>专家点评</w:t>
            </w:r>
            <w:r>
              <w:rPr>
                <w:rFonts w:eastAsia="仿宋_GB2312" w:hint="eastAsia"/>
                <w:bCs/>
                <w:color w:val="000000"/>
                <w:kern w:val="0"/>
                <w:sz w:val="22"/>
                <w:szCs w:val="22"/>
              </w:rPr>
              <w:t>（</w:t>
            </w:r>
            <w:r w:rsidRPr="00634133">
              <w:rPr>
                <w:rFonts w:eastAsia="仿宋_GB2312"/>
                <w:bCs/>
                <w:color w:val="000000"/>
                <w:kern w:val="0"/>
                <w:sz w:val="22"/>
                <w:szCs w:val="22"/>
              </w:rPr>
              <w:t>注</w:t>
            </w:r>
            <w:r w:rsidRPr="00634133">
              <w:rPr>
                <w:rFonts w:eastAsia="仿宋_GB2312"/>
                <w:bCs/>
                <w:color w:val="000000"/>
                <w:kern w:val="0"/>
                <w:sz w:val="22"/>
                <w:szCs w:val="22"/>
              </w:rPr>
              <w:t>:</w:t>
            </w:r>
            <w:r w:rsidRPr="00634133">
              <w:rPr>
                <w:rFonts w:eastAsia="仿宋_GB2312"/>
                <w:bCs/>
                <w:color w:val="000000"/>
                <w:kern w:val="0"/>
                <w:sz w:val="22"/>
                <w:szCs w:val="22"/>
              </w:rPr>
              <w:t>只给前三名写</w:t>
            </w:r>
            <w:r>
              <w:rPr>
                <w:rFonts w:eastAsia="仿宋_GB2312" w:hint="eastAsia"/>
                <w:bCs/>
                <w:color w:val="000000"/>
                <w:kern w:val="0"/>
                <w:sz w:val="22"/>
                <w:szCs w:val="22"/>
              </w:rPr>
              <w:t>，</w:t>
            </w:r>
            <w:r w:rsidRPr="00634133">
              <w:rPr>
                <w:rFonts w:eastAsia="仿宋_GB2312"/>
                <w:bCs/>
                <w:color w:val="000000"/>
                <w:kern w:val="0"/>
                <w:sz w:val="22"/>
                <w:szCs w:val="22"/>
              </w:rPr>
              <w:t>不少于</w:t>
            </w:r>
            <w:r w:rsidRPr="00634133">
              <w:rPr>
                <w:rFonts w:eastAsia="仿宋_GB2312"/>
                <w:bCs/>
                <w:color w:val="000000"/>
                <w:kern w:val="0"/>
                <w:sz w:val="22"/>
                <w:szCs w:val="22"/>
              </w:rPr>
              <w:t>200</w:t>
            </w:r>
            <w:r w:rsidRPr="00634133">
              <w:rPr>
                <w:rFonts w:eastAsia="仿宋_GB2312"/>
                <w:bCs/>
                <w:color w:val="000000"/>
                <w:kern w:val="0"/>
                <w:sz w:val="22"/>
                <w:szCs w:val="22"/>
              </w:rPr>
              <w:t>字</w:t>
            </w:r>
            <w:r>
              <w:rPr>
                <w:rFonts w:eastAsia="仿宋_GB2312" w:hint="eastAsia"/>
                <w:bCs/>
                <w:color w:val="000000"/>
                <w:kern w:val="0"/>
                <w:sz w:val="22"/>
                <w:szCs w:val="22"/>
              </w:rPr>
              <w:t>）：</w:t>
            </w:r>
          </w:p>
        </w:tc>
      </w:tr>
      <w:tr w:rsidR="00FF1B3F" w:rsidRPr="00634133" w:rsidTr="00ED430B">
        <w:trPr>
          <w:trHeight w:val="725"/>
          <w:jc w:val="center"/>
        </w:trPr>
        <w:tc>
          <w:tcPr>
            <w:tcW w:w="4356" w:type="dxa"/>
            <w:gridSpan w:val="2"/>
            <w:shd w:val="clear" w:color="auto" w:fill="auto"/>
            <w:vAlign w:val="center"/>
            <w:hideMark/>
          </w:tcPr>
          <w:p w:rsidR="00FF1B3F" w:rsidRPr="00634133" w:rsidRDefault="00FF1B3F" w:rsidP="00ED430B">
            <w:pPr>
              <w:widowControl/>
              <w:spacing w:line="400" w:lineRule="exact"/>
              <w:jc w:val="left"/>
              <w:rPr>
                <w:bCs/>
                <w:color w:val="000000"/>
                <w:kern w:val="0"/>
                <w:sz w:val="22"/>
                <w:szCs w:val="22"/>
              </w:rPr>
            </w:pPr>
            <w:r w:rsidRPr="00634133">
              <w:rPr>
                <w:rFonts w:hAnsi="宋体"/>
                <w:bCs/>
                <w:color w:val="000000"/>
                <w:kern w:val="0"/>
                <w:sz w:val="22"/>
                <w:szCs w:val="22"/>
              </w:rPr>
              <w:t>专家签名：</w:t>
            </w:r>
          </w:p>
        </w:tc>
        <w:tc>
          <w:tcPr>
            <w:tcW w:w="8001" w:type="dxa"/>
            <w:shd w:val="clear" w:color="auto" w:fill="auto"/>
            <w:vAlign w:val="center"/>
            <w:hideMark/>
          </w:tcPr>
          <w:p w:rsidR="00FF1B3F" w:rsidRPr="00634133" w:rsidRDefault="00FF1B3F" w:rsidP="00ED430B">
            <w:pPr>
              <w:widowControl/>
              <w:spacing w:line="400" w:lineRule="exact"/>
              <w:jc w:val="left"/>
              <w:rPr>
                <w:bCs/>
                <w:color w:val="000000"/>
                <w:kern w:val="0"/>
                <w:sz w:val="22"/>
                <w:szCs w:val="22"/>
              </w:rPr>
            </w:pPr>
            <w:r w:rsidRPr="00634133">
              <w:rPr>
                <w:rFonts w:hAnsi="宋体"/>
                <w:bCs/>
                <w:color w:val="000000"/>
                <w:kern w:val="0"/>
                <w:sz w:val="22"/>
                <w:szCs w:val="22"/>
              </w:rPr>
              <w:t>技术职称：</w:t>
            </w:r>
          </w:p>
        </w:tc>
        <w:tc>
          <w:tcPr>
            <w:tcW w:w="2583" w:type="dxa"/>
            <w:gridSpan w:val="2"/>
            <w:shd w:val="clear" w:color="auto" w:fill="auto"/>
            <w:vAlign w:val="center"/>
            <w:hideMark/>
          </w:tcPr>
          <w:p w:rsidR="00FF1B3F" w:rsidRPr="00634133" w:rsidRDefault="00FF1B3F" w:rsidP="00ED430B">
            <w:pPr>
              <w:widowControl/>
              <w:spacing w:line="400" w:lineRule="exact"/>
              <w:jc w:val="left"/>
              <w:rPr>
                <w:bCs/>
                <w:color w:val="000000"/>
                <w:kern w:val="0"/>
                <w:sz w:val="22"/>
                <w:szCs w:val="22"/>
              </w:rPr>
            </w:pPr>
            <w:r w:rsidRPr="00634133">
              <w:rPr>
                <w:rFonts w:hAnsi="宋体"/>
                <w:bCs/>
                <w:color w:val="000000"/>
                <w:kern w:val="0"/>
                <w:sz w:val="22"/>
                <w:szCs w:val="22"/>
              </w:rPr>
              <w:t>研究方向：</w:t>
            </w:r>
          </w:p>
        </w:tc>
      </w:tr>
    </w:tbl>
    <w:p w:rsidR="00FF1B3F" w:rsidRPr="00916B13" w:rsidRDefault="00FF1B3F" w:rsidP="00FF1B3F">
      <w:pPr>
        <w:spacing w:line="360" w:lineRule="auto"/>
        <w:ind w:leftChars="-220" w:hangingChars="165" w:hanging="462"/>
        <w:rPr>
          <w:rFonts w:eastAsia="仿宋_GB2312"/>
          <w:sz w:val="28"/>
          <w:szCs w:val="28"/>
        </w:rPr>
      </w:pPr>
    </w:p>
    <w:p w:rsidR="00E44143" w:rsidRDefault="00E44143"/>
    <w:sectPr w:rsidR="00E44143" w:rsidSect="00634133">
      <w:pgSz w:w="16838" w:h="11906" w:orient="landscape" w:code="9"/>
      <w:pgMar w:top="1797" w:right="1440" w:bottom="1797" w:left="1440" w:header="851" w:footer="1588"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1B3F"/>
    <w:rsid w:val="00E44143"/>
    <w:rsid w:val="00FF1B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B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2018-01-04T03:39:00Z</dcterms:created>
  <dcterms:modified xsi:type="dcterms:W3CDTF">2018-01-04T03:40:00Z</dcterms:modified>
</cp:coreProperties>
</file>